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1DEBD" w14:textId="693EF771" w:rsidR="000B544F" w:rsidRDefault="000B544F" w:rsidP="000B544F">
      <w:r>
        <w:rPr>
          <w:noProof/>
        </w:rPr>
        <mc:AlternateContent>
          <mc:Choice Requires="wpg">
            <w:drawing>
              <wp:anchor distT="0" distB="0" distL="114300" distR="114300" simplePos="0" relativeHeight="251659264" behindDoc="0" locked="0" layoutInCell="1" allowOverlap="1" wp14:anchorId="4B40BB67" wp14:editId="0D62344A">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rgbClr val="70AD47">
                                <a:lumMod val="60000"/>
                                <a:lumOff val="40000"/>
                                <a:alpha val="80000"/>
                              </a:srgbClr>
                            </a:fgClr>
                            <a:bgClr>
                              <a:sysClr val="window" lastClr="FFFFFF">
                                <a:alpha val="80000"/>
                              </a:sys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70AD47">
                              <a:lumMod val="60000"/>
                              <a:lumOff val="40000"/>
                            </a:srgb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E89FAFF" w14:textId="77777777" w:rsidR="000B544F" w:rsidRDefault="000B544F" w:rsidP="000B544F">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BA1FD97" w14:textId="77777777" w:rsidR="000B544F" w:rsidRDefault="000B544F" w:rsidP="000B544F">
                              <w:pPr>
                                <w:pStyle w:val="NoSpacing"/>
                                <w:spacing w:line="360" w:lineRule="auto"/>
                                <w:rPr>
                                  <w:color w:val="FFFFFF" w:themeColor="background1"/>
                                </w:rPr>
                              </w:pPr>
                            </w:p>
                            <w:p w14:paraId="208A5D8D" w14:textId="77777777" w:rsidR="000B544F" w:rsidRDefault="000B544F" w:rsidP="000B544F">
                              <w:pPr>
                                <w:pStyle w:val="NoSpacing"/>
                                <w:spacing w:line="360" w:lineRule="auto"/>
                                <w:rPr>
                                  <w:color w:val="FFFFFF" w:themeColor="background1"/>
                                </w:rPr>
                              </w:pPr>
                            </w:p>
                            <w:p w14:paraId="7733BFF0" w14:textId="77777777" w:rsidR="000B544F" w:rsidRDefault="000B544F" w:rsidP="000B544F">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B40BB67"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" fillcolor="#a9d18e" stroked="f" strokecolor="white" strokeweight="1pt">
                  <v:fill r:id="rId5" o:title="" opacity="52428f" color2="window"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" fillcolor="#a9d18e"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rsidR="000B544F" w:rsidRDefault="000B544F" w:rsidP="000B544F">
                        <w:pPr>
                          <w:pStyle w:val="NoSpacing"/>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rsidR="000B544F" w:rsidRDefault="000B544F" w:rsidP="000B544F">
                        <w:pPr>
                          <w:pStyle w:val="NoSpacing"/>
                          <w:spacing w:line="360" w:lineRule="auto"/>
                          <w:rPr>
                            <w:color w:val="FFFFFF" w:themeColor="background1"/>
                          </w:rPr>
                        </w:pPr>
                      </w:p>
                      <w:p w:rsidR="000B544F" w:rsidRDefault="000B544F" w:rsidP="000B544F">
                        <w:pPr>
                          <w:pStyle w:val="NoSpacing"/>
                          <w:spacing w:line="360" w:lineRule="auto"/>
                          <w:rPr>
                            <w:color w:val="FFFFFF" w:themeColor="background1"/>
                          </w:rPr>
                        </w:pPr>
                      </w:p>
                      <w:p w:rsidR="000B544F" w:rsidRDefault="000B544F" w:rsidP="000B544F">
                        <w:pPr>
                          <w:pStyle w:val="NoSpacing"/>
                          <w:spacing w:line="360" w:lineRule="auto"/>
                          <w:rPr>
                            <w:color w:val="FFFFFF" w:themeColor="background1"/>
                          </w:rPr>
                        </w:pPr>
                      </w:p>
                    </w:txbxContent>
                  </v:textbox>
                </v:rect>
                <w10:wrap anchorx="page" anchory="page"/>
              </v:group>
            </w:pict>
          </mc:Fallback>
        </mc:AlternateContent>
      </w:r>
      <w:proofErr w:type="spellStart"/>
      <w:r w:rsidR="002C720D">
        <w:t>Lbumin</w:t>
      </w:r>
      <w:proofErr w:type="spellEnd"/>
      <w:r w:rsidR="002C720D">
        <w:t xml:space="preserve"> </w:t>
      </w:r>
    </w:p>
    <w:p w14:paraId="1757529A" w14:textId="77777777" w:rsidR="000B544F" w:rsidRDefault="000B544F" w:rsidP="000B544F">
      <w:pPr>
        <w:rPr>
          <w:noProof/>
        </w:rPr>
      </w:pPr>
      <w:r>
        <w:rPr>
          <w:noProof/>
        </w:rPr>
        <w:drawing>
          <wp:anchor distT="0" distB="0" distL="114300" distR="114300" simplePos="0" relativeHeight="251664384" behindDoc="0" locked="0" layoutInCell="1" allowOverlap="1" wp14:anchorId="0B7CB482" wp14:editId="4A25867D">
            <wp:simplePos x="0" y="0"/>
            <wp:positionH relativeFrom="margin">
              <wp:posOffset>-850605</wp:posOffset>
            </wp:positionH>
            <wp:positionV relativeFrom="paragraph">
              <wp:posOffset>7733665</wp:posOffset>
            </wp:positionV>
            <wp:extent cx="2377440" cy="16579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16579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CA54A25" wp14:editId="0C1A3407">
            <wp:simplePos x="0" y="0"/>
            <wp:positionH relativeFrom="column">
              <wp:posOffset>-419478</wp:posOffset>
            </wp:positionH>
            <wp:positionV relativeFrom="paragraph">
              <wp:posOffset>371280</wp:posOffset>
            </wp:positionV>
            <wp:extent cx="2176145" cy="1146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6145" cy="1146175"/>
                    </a:xfrm>
                    <a:prstGeom prst="rect">
                      <a:avLst/>
                    </a:prstGeom>
                    <a:noFill/>
                  </pic:spPr>
                </pic:pic>
              </a:graphicData>
            </a:graphic>
          </wp:anchor>
        </w:drawing>
      </w:r>
      <w:r>
        <w:rPr>
          <w:noProof/>
        </w:rPr>
        <w:drawing>
          <wp:anchor distT="0" distB="0" distL="114300" distR="114300" simplePos="0" relativeHeight="251663360" behindDoc="0" locked="0" layoutInCell="1" allowOverlap="1" wp14:anchorId="644AA810" wp14:editId="1F1E5E82">
            <wp:simplePos x="0" y="0"/>
            <wp:positionH relativeFrom="column">
              <wp:posOffset>2502934</wp:posOffset>
            </wp:positionH>
            <wp:positionV relativeFrom="paragraph">
              <wp:posOffset>465901</wp:posOffset>
            </wp:positionV>
            <wp:extent cx="951230" cy="112776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1127760"/>
                    </a:xfrm>
                    <a:prstGeom prst="rect">
                      <a:avLst/>
                    </a:prstGeom>
                    <a:noFill/>
                  </pic:spPr>
                </pic:pic>
              </a:graphicData>
            </a:graphic>
          </wp:anchor>
        </w:drawing>
      </w:r>
      <w:r w:rsidRPr="003244E7">
        <w:rPr>
          <w:noProof/>
        </w:rPr>
        <w:drawing>
          <wp:anchor distT="0" distB="0" distL="114300" distR="114300" simplePos="0" relativeHeight="251662336" behindDoc="0" locked="0" layoutInCell="1" allowOverlap="1" wp14:anchorId="6B1C5BE5" wp14:editId="39FE42A6">
            <wp:simplePos x="0" y="0"/>
            <wp:positionH relativeFrom="column">
              <wp:posOffset>4018217</wp:posOffset>
            </wp:positionH>
            <wp:positionV relativeFrom="paragraph">
              <wp:posOffset>582295</wp:posOffset>
            </wp:positionV>
            <wp:extent cx="2461895" cy="9131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1895" cy="91313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0" allowOverlap="1" wp14:anchorId="6A4FA7DA" wp14:editId="0CE75653">
                <wp:simplePos x="0" y="0"/>
                <wp:positionH relativeFrom="page">
                  <wp:align>left</wp:align>
                </wp:positionH>
                <wp:positionV relativeFrom="page">
                  <wp:posOffset>3967995</wp:posOffset>
                </wp:positionV>
                <wp:extent cx="7514376" cy="1213165"/>
                <wp:effectExtent l="0" t="0" r="0" b="63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4376" cy="1213165"/>
                        </a:xfrm>
                        <a:prstGeom prst="rect">
                          <a:avLst/>
                        </a:prstGeom>
                        <a:solidFill>
                          <a:srgbClr val="5B9BD5">
                            <a:lumMod val="50000"/>
                          </a:srgbClr>
                        </a:solidFill>
                        <a:ln w="19050">
                          <a:noFill/>
                          <a:miter lim="800000"/>
                          <a:headEnd/>
                          <a:tailEnd/>
                        </a:ln>
                      </wps:spPr>
                      <wps:txbx>
                        <w:txbxContent>
                          <w:p w14:paraId="5131F45B" w14:textId="77777777" w:rsidR="000B544F" w:rsidRDefault="000B544F" w:rsidP="000B544F">
                            <w:pPr>
                              <w:pStyle w:val="NoSpacing"/>
                              <w:jc w:val="center"/>
                              <w:rPr>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4FA7DA" id="Rectangle 16" o:spid="_x0000_s1031" style="position:absolute;margin-left:0;margin-top:312.45pt;width:591.7pt;height:95.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" o:allowincell="f" fillcolor="#1f4e79" stroked="f" strokeweight="1.5pt">
                <v:textbox inset="14.4pt,,14.4pt">
                  <w:txbxContent>
                    <w:p w:rsidR="000B544F" w:rsidRDefault="000B544F" w:rsidP="000B544F">
                      <w:pPr>
                        <w:pStyle w:val="NoSpacing"/>
                        <w:jc w:val="center"/>
                        <w:rPr>
                          <w:color w:val="FFFFFF" w:themeColor="background1"/>
                          <w:sz w:val="72"/>
                          <w:szCs w:val="72"/>
                        </w:rPr>
                      </w:pPr>
                    </w:p>
                  </w:txbxContent>
                </v:textbox>
                <w10:wrap anchorx="page" anchory="page"/>
              </v:rect>
            </w:pict>
          </mc:Fallback>
        </mc:AlternateContent>
      </w:r>
      <w:r>
        <w:rPr>
          <w:noProof/>
        </w:rPr>
        <w:br w:type="page"/>
      </w:r>
    </w:p>
    <w:p w14:paraId="0478282B" w14:textId="77777777" w:rsidR="000B544F" w:rsidRDefault="000B544F" w:rsidP="000B544F">
      <w:pPr>
        <w:pStyle w:val="Heading1"/>
      </w:pPr>
      <w:bookmarkStart w:id="0" w:name="_Toc32766498"/>
      <w:r>
        <w:lastRenderedPageBreak/>
        <w:t>Serum Albumin (Bromocresol Green Method)</w:t>
      </w:r>
      <w:bookmarkEnd w:id="0"/>
      <w:r>
        <w:t xml:space="preserve"> </w:t>
      </w:r>
    </w:p>
    <w:p w14:paraId="10A9BCAF" w14:textId="77777777" w:rsidR="000B544F" w:rsidRDefault="000B544F" w:rsidP="000B544F"/>
    <w:p w14:paraId="5AB84EDA" w14:textId="77777777" w:rsidR="000B544F" w:rsidRDefault="000B544F" w:rsidP="000B544F">
      <w:bookmarkStart w:id="1" w:name="_Toc32750115"/>
      <w:bookmarkStart w:id="2" w:name="_Toc32766499"/>
      <w:r w:rsidRPr="005C37CB">
        <w:rPr>
          <w:rStyle w:val="Heading3Char"/>
        </w:rPr>
        <w:t>Aims</w:t>
      </w:r>
      <w:r>
        <w:rPr>
          <w:rStyle w:val="Heading3Char"/>
        </w:rPr>
        <w:t>:</w:t>
      </w:r>
      <w:bookmarkEnd w:id="1"/>
      <w:bookmarkEnd w:id="2"/>
      <w:r>
        <w:t xml:space="preserve"> To perform serum albumin determinations on samples, explain the principle behind the Bromocresol Green method for albumin measurement and to list the factors that will cause interference with this method.</w:t>
      </w:r>
    </w:p>
    <w:p w14:paraId="6BB5F3C2" w14:textId="77777777" w:rsidR="000B544F" w:rsidRDefault="000B544F" w:rsidP="000B544F">
      <w:pPr>
        <w:pStyle w:val="Heading3"/>
      </w:pPr>
      <w:bookmarkStart w:id="3" w:name="_Toc32750116"/>
      <w:bookmarkStart w:id="4" w:name="_Toc32766500"/>
      <w:r>
        <w:t>Principle:</w:t>
      </w:r>
      <w:bookmarkEnd w:id="3"/>
      <w:bookmarkEnd w:id="4"/>
    </w:p>
    <w:p w14:paraId="3E554F44" w14:textId="77777777" w:rsidR="000B544F" w:rsidRDefault="000B544F" w:rsidP="000B544F">
      <w:r>
        <w:t xml:space="preserve">Albumin is known for its ability to bind many types of organic compounds, including organic dyes. When albumin selectively binds with </w:t>
      </w:r>
      <w:proofErr w:type="spellStart"/>
      <w:r>
        <w:t>Bromcresol</w:t>
      </w:r>
      <w:proofErr w:type="spellEnd"/>
      <w:r>
        <w:t xml:space="preserve"> Green (BCG) it causes a change in the absorbance maximum of BCG. The intense blue-green complex that is formed has an absorbance max of 670nm. Bromocresol reagent at pH 4.3 is negatively charged. The </w:t>
      </w:r>
      <w:proofErr w:type="spellStart"/>
      <w:r>
        <w:t>pI</w:t>
      </w:r>
      <w:proofErr w:type="spellEnd"/>
      <w:r>
        <w:t xml:space="preserve"> of albumin is 4.7.</w:t>
      </w:r>
    </w:p>
    <w:p w14:paraId="69CEABDB" w14:textId="77777777" w:rsidR="000B544F" w:rsidRDefault="000B544F" w:rsidP="000B544F">
      <w:r w:rsidRPr="006F20F2">
        <w:rPr>
          <w:noProof/>
        </w:rPr>
        <w:drawing>
          <wp:inline distT="0" distB="0" distL="0" distR="0" wp14:anchorId="21E778DC" wp14:editId="48144712">
            <wp:extent cx="5730491" cy="1589314"/>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0642" b="22420"/>
                    <a:stretch/>
                  </pic:blipFill>
                  <pic:spPr bwMode="auto">
                    <a:xfrm>
                      <a:off x="0" y="0"/>
                      <a:ext cx="5731510" cy="1589597"/>
                    </a:xfrm>
                    <a:prstGeom prst="rect">
                      <a:avLst/>
                    </a:prstGeom>
                    <a:ln>
                      <a:noFill/>
                    </a:ln>
                    <a:extLst>
                      <a:ext uri="{53640926-AAD7-44D8-BBD7-CCE9431645EC}">
                        <a14:shadowObscured xmlns:a14="http://schemas.microsoft.com/office/drawing/2010/main"/>
                      </a:ext>
                    </a:extLst>
                  </pic:spPr>
                </pic:pic>
              </a:graphicData>
            </a:graphic>
          </wp:inline>
        </w:drawing>
      </w:r>
    </w:p>
    <w:p w14:paraId="38A3EDB1" w14:textId="77777777" w:rsidR="000B544F" w:rsidRDefault="000B544F" w:rsidP="000B544F">
      <w:r>
        <w:t xml:space="preserve">For all spectrometric assays, always use a </w:t>
      </w:r>
      <w:r w:rsidRPr="000139C3">
        <w:rPr>
          <w:b/>
          <w:bCs/>
        </w:rPr>
        <w:t>Reagent blank</w:t>
      </w:r>
      <w:r>
        <w:t>. It usually contains all diluents and reagent in the reaction solution, but no sample. Some reagent blanks do contain the sample as well, but they lack one crucial reagent component needed to produce a colour-yielding reaction.</w:t>
      </w:r>
      <w:r w:rsidRPr="009E096F">
        <w:t xml:space="preserve"> </w:t>
      </w:r>
      <w:r>
        <w:t>This is different from the water used to zero a spectrophotometer (set 100% T).</w:t>
      </w:r>
    </w:p>
    <w:p w14:paraId="03E25FD1" w14:textId="77777777" w:rsidR="000B544F" w:rsidRDefault="000B544F" w:rsidP="000B544F">
      <w:pPr>
        <w:pStyle w:val="Heading3"/>
      </w:pPr>
      <w:bookmarkStart w:id="5" w:name="_Toc32750117"/>
      <w:bookmarkStart w:id="6" w:name="_Toc32766501"/>
      <w:r>
        <w:t>Materials:</w:t>
      </w:r>
      <w:bookmarkEnd w:id="5"/>
      <w:bookmarkEnd w:id="6"/>
      <w:r>
        <w:t xml:space="preserve"> </w:t>
      </w:r>
    </w:p>
    <w:p w14:paraId="1E829777" w14:textId="77777777" w:rsidR="000B544F" w:rsidRDefault="000B544F" w:rsidP="000B544F"/>
    <w:p w14:paraId="12F96F19" w14:textId="77777777" w:rsidR="000B544F" w:rsidRDefault="000B544F" w:rsidP="000B544F">
      <w:pPr>
        <w:pStyle w:val="ListParagraph"/>
        <w:numPr>
          <w:ilvl w:val="0"/>
          <w:numId w:val="2"/>
        </w:numPr>
        <w:spacing w:after="0" w:line="240" w:lineRule="auto"/>
      </w:pPr>
      <w:r>
        <w:t xml:space="preserve">Albumin Stock Solution (100g/L) or </w:t>
      </w:r>
      <w:proofErr w:type="spellStart"/>
      <w:r>
        <w:t>Cobas</w:t>
      </w:r>
      <w:proofErr w:type="spellEnd"/>
      <w:r>
        <w:t xml:space="preserve"> calibrator</w:t>
      </w:r>
    </w:p>
    <w:p w14:paraId="0627D4C6" w14:textId="77777777" w:rsidR="000B544F" w:rsidRDefault="000B544F" w:rsidP="000B544F">
      <w:pPr>
        <w:pStyle w:val="ListParagraph"/>
        <w:numPr>
          <w:ilvl w:val="0"/>
          <w:numId w:val="2"/>
        </w:numPr>
        <w:spacing w:after="0" w:line="240" w:lineRule="auto"/>
      </w:pPr>
      <w:r>
        <w:t xml:space="preserve">Serum patient samples (record the albumin results off track) </w:t>
      </w:r>
    </w:p>
    <w:p w14:paraId="411A565E" w14:textId="77777777" w:rsidR="000B544F" w:rsidRDefault="000B544F" w:rsidP="000B544F">
      <w:pPr>
        <w:pStyle w:val="ListParagraph"/>
        <w:numPr>
          <w:ilvl w:val="0"/>
          <w:numId w:val="2"/>
        </w:numPr>
        <w:spacing w:after="0" w:line="240" w:lineRule="auto"/>
      </w:pPr>
      <w:proofErr w:type="spellStart"/>
      <w:r>
        <w:t>Cobas</w:t>
      </w:r>
      <w:proofErr w:type="spellEnd"/>
      <w:r>
        <w:t xml:space="preserve"> albumin controls</w:t>
      </w:r>
    </w:p>
    <w:p w14:paraId="2A7034F5" w14:textId="77777777" w:rsidR="000B544F" w:rsidRDefault="000B544F" w:rsidP="000B544F">
      <w:pPr>
        <w:pStyle w:val="ListParagraph"/>
        <w:numPr>
          <w:ilvl w:val="0"/>
          <w:numId w:val="2"/>
        </w:numPr>
        <w:spacing w:after="0" w:line="240" w:lineRule="auto"/>
      </w:pPr>
      <w:r>
        <w:t xml:space="preserve">Bromocresol green reagent (BCG) - obtain </w:t>
      </w:r>
      <w:proofErr w:type="spellStart"/>
      <w:r>
        <w:t>Cobas</w:t>
      </w:r>
      <w:proofErr w:type="spellEnd"/>
      <w:r>
        <w:t xml:space="preserve"> reagent or make up as follows:</w:t>
      </w:r>
    </w:p>
    <w:p w14:paraId="2DAC688E" w14:textId="77777777" w:rsidR="000B544F" w:rsidRDefault="000B544F" w:rsidP="000B544F">
      <w:pPr>
        <w:pStyle w:val="ListParagraph"/>
        <w:numPr>
          <w:ilvl w:val="0"/>
          <w:numId w:val="1"/>
        </w:numPr>
        <w:rPr>
          <w:color w:val="231F20"/>
        </w:rPr>
      </w:pPr>
      <w:r>
        <w:rPr>
          <w:color w:val="231F20"/>
        </w:rPr>
        <w:t>7.5mg of BCG</w:t>
      </w:r>
    </w:p>
    <w:p w14:paraId="4A33E95A" w14:textId="77777777" w:rsidR="000B544F" w:rsidRDefault="000B544F" w:rsidP="000B544F">
      <w:pPr>
        <w:pStyle w:val="ListParagraph"/>
        <w:numPr>
          <w:ilvl w:val="0"/>
          <w:numId w:val="1"/>
        </w:numPr>
        <w:rPr>
          <w:color w:val="231F20"/>
        </w:rPr>
      </w:pPr>
      <w:r>
        <w:rPr>
          <w:color w:val="231F20"/>
        </w:rPr>
        <w:t>250mg EDTA</w:t>
      </w:r>
    </w:p>
    <w:p w14:paraId="448BEC66" w14:textId="77777777" w:rsidR="000B544F" w:rsidRDefault="000B544F" w:rsidP="000B544F">
      <w:pPr>
        <w:pStyle w:val="ListParagraph"/>
        <w:numPr>
          <w:ilvl w:val="0"/>
          <w:numId w:val="1"/>
        </w:numPr>
        <w:rPr>
          <w:color w:val="231F20"/>
        </w:rPr>
      </w:pPr>
      <w:r>
        <w:rPr>
          <w:color w:val="231F20"/>
        </w:rPr>
        <w:t>250µL Tween 20</w:t>
      </w:r>
    </w:p>
    <w:p w14:paraId="46F8E291" w14:textId="77777777" w:rsidR="000B544F" w:rsidRDefault="000B544F" w:rsidP="000B544F">
      <w:pPr>
        <w:pStyle w:val="ListParagraph"/>
        <w:numPr>
          <w:ilvl w:val="0"/>
          <w:numId w:val="1"/>
        </w:numPr>
        <w:rPr>
          <w:color w:val="231F20"/>
        </w:rPr>
      </w:pPr>
      <w:r>
        <w:rPr>
          <w:color w:val="231F20"/>
        </w:rPr>
        <w:t>Bring up to 25mL with water</w:t>
      </w:r>
    </w:p>
    <w:p w14:paraId="5518A286" w14:textId="77777777" w:rsidR="000B544F" w:rsidRDefault="000B544F" w:rsidP="000B544F">
      <w:pPr>
        <w:pStyle w:val="Heading3"/>
      </w:pPr>
      <w:bookmarkStart w:id="7" w:name="_Toc32766502"/>
      <w:r>
        <w:t>Methods:</w:t>
      </w:r>
      <w:bookmarkEnd w:id="7"/>
    </w:p>
    <w:p w14:paraId="2D1FE452" w14:textId="77777777" w:rsidR="000B544F" w:rsidRDefault="000B544F" w:rsidP="000B544F"/>
    <w:p w14:paraId="3B86D802" w14:textId="77777777" w:rsidR="000B544F" w:rsidRDefault="000B544F" w:rsidP="000B544F">
      <w:pPr>
        <w:pStyle w:val="ListParagraph"/>
        <w:numPr>
          <w:ilvl w:val="0"/>
          <w:numId w:val="3"/>
        </w:numPr>
        <w:ind w:left="284"/>
      </w:pPr>
      <w:r>
        <w:t xml:space="preserve">Generate a calibration curve of at least 8 standards (0- 80 g/L) by diluting the Albumin Stock (100 g/L). </w:t>
      </w:r>
    </w:p>
    <w:p w14:paraId="3F19A3BC" w14:textId="77777777" w:rsidR="000B544F" w:rsidRDefault="000B544F" w:rsidP="000B544F">
      <w:pPr>
        <w:pStyle w:val="ListParagraph"/>
        <w:numPr>
          <w:ilvl w:val="0"/>
          <w:numId w:val="3"/>
        </w:numPr>
        <w:ind w:left="284"/>
      </w:pPr>
      <w:r>
        <w:t>In labelled tubes, set up a calibration, controls and test samples as follows:</w:t>
      </w:r>
    </w:p>
    <w:tbl>
      <w:tblPr>
        <w:tblStyle w:val="GridTable5Dark-Accent3"/>
        <w:tblW w:w="0" w:type="auto"/>
        <w:jc w:val="center"/>
        <w:tblLook w:val="04A0" w:firstRow="1" w:lastRow="0" w:firstColumn="1" w:lastColumn="0" w:noHBand="0" w:noVBand="1"/>
      </w:tblPr>
      <w:tblGrid>
        <w:gridCol w:w="1672"/>
        <w:gridCol w:w="1069"/>
        <w:gridCol w:w="1082"/>
        <w:gridCol w:w="1417"/>
        <w:gridCol w:w="1418"/>
        <w:gridCol w:w="1984"/>
      </w:tblGrid>
      <w:tr w:rsidR="000B544F" w14:paraId="2BB569DE" w14:textId="77777777" w:rsidTr="0016324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2" w:type="dxa"/>
          </w:tcPr>
          <w:p w14:paraId="55AB496C" w14:textId="77777777" w:rsidR="000B544F" w:rsidRDefault="000B544F" w:rsidP="0016324A">
            <w:pPr>
              <w:jc w:val="center"/>
            </w:pPr>
            <w:r>
              <w:t>Sample</w:t>
            </w:r>
          </w:p>
        </w:tc>
        <w:tc>
          <w:tcPr>
            <w:tcW w:w="1069" w:type="dxa"/>
          </w:tcPr>
          <w:p w14:paraId="272CA42E" w14:textId="77777777" w:rsidR="000B544F" w:rsidRDefault="000B544F" w:rsidP="0016324A">
            <w:pPr>
              <w:jc w:val="center"/>
              <w:cnfStyle w:val="100000000000" w:firstRow="1" w:lastRow="0" w:firstColumn="0" w:lastColumn="0" w:oddVBand="0" w:evenVBand="0" w:oddHBand="0" w:evenHBand="0" w:firstRowFirstColumn="0" w:firstRowLastColumn="0" w:lastRowFirstColumn="0" w:lastRowLastColumn="0"/>
            </w:pPr>
            <w:r>
              <w:t>Water (µL)</w:t>
            </w:r>
          </w:p>
        </w:tc>
        <w:tc>
          <w:tcPr>
            <w:tcW w:w="1082" w:type="dxa"/>
          </w:tcPr>
          <w:p w14:paraId="76A33A6C" w14:textId="77777777" w:rsidR="000B544F" w:rsidRDefault="000B544F" w:rsidP="0016324A">
            <w:pPr>
              <w:jc w:val="center"/>
              <w:cnfStyle w:val="100000000000" w:firstRow="1" w:lastRow="0" w:firstColumn="0" w:lastColumn="0" w:oddVBand="0" w:evenVBand="0" w:oddHBand="0" w:evenHBand="0" w:firstRowFirstColumn="0" w:firstRowLastColumn="0" w:lastRowFirstColumn="0" w:lastRowLastColumn="0"/>
            </w:pPr>
            <w:r>
              <w:t xml:space="preserve">Std (µL) </w:t>
            </w:r>
          </w:p>
        </w:tc>
        <w:tc>
          <w:tcPr>
            <w:tcW w:w="1417" w:type="dxa"/>
          </w:tcPr>
          <w:p w14:paraId="6F052689" w14:textId="77777777" w:rsidR="000B544F" w:rsidRDefault="000B544F" w:rsidP="0016324A">
            <w:pPr>
              <w:jc w:val="center"/>
              <w:cnfStyle w:val="100000000000" w:firstRow="1" w:lastRow="0" w:firstColumn="0" w:lastColumn="0" w:oddVBand="0" w:evenVBand="0" w:oddHBand="0" w:evenHBand="0" w:firstRowFirstColumn="0" w:firstRowLastColumn="0" w:lastRowFirstColumn="0" w:lastRowLastColumn="0"/>
            </w:pPr>
            <w:r>
              <w:t>Control (µL)</w:t>
            </w:r>
          </w:p>
        </w:tc>
        <w:tc>
          <w:tcPr>
            <w:tcW w:w="1418" w:type="dxa"/>
          </w:tcPr>
          <w:p w14:paraId="33A445CA" w14:textId="77777777" w:rsidR="000B544F" w:rsidRDefault="000B544F" w:rsidP="0016324A">
            <w:pPr>
              <w:jc w:val="center"/>
              <w:cnfStyle w:val="100000000000" w:firstRow="1" w:lastRow="0" w:firstColumn="0" w:lastColumn="0" w:oddVBand="0" w:evenVBand="0" w:oddHBand="0" w:evenHBand="0" w:firstRowFirstColumn="0" w:firstRowLastColumn="0" w:lastRowFirstColumn="0" w:lastRowLastColumn="0"/>
            </w:pPr>
            <w:r>
              <w:t>Sample (µL)</w:t>
            </w:r>
          </w:p>
        </w:tc>
        <w:tc>
          <w:tcPr>
            <w:tcW w:w="1984" w:type="dxa"/>
          </w:tcPr>
          <w:p w14:paraId="40161F23" w14:textId="77777777" w:rsidR="000B544F" w:rsidRDefault="000B544F" w:rsidP="0016324A">
            <w:pPr>
              <w:jc w:val="center"/>
              <w:cnfStyle w:val="100000000000" w:firstRow="1" w:lastRow="0" w:firstColumn="0" w:lastColumn="0" w:oddVBand="0" w:evenVBand="0" w:oddHBand="0" w:evenHBand="0" w:firstRowFirstColumn="0" w:firstRowLastColumn="0" w:lastRowFirstColumn="0" w:lastRowLastColumn="0"/>
            </w:pPr>
            <w:r>
              <w:t>BCG Reagent (µL)</w:t>
            </w:r>
          </w:p>
        </w:tc>
      </w:tr>
      <w:tr w:rsidR="000B544F" w14:paraId="49505A26" w14:textId="77777777" w:rsidTr="001632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2" w:type="dxa"/>
          </w:tcPr>
          <w:p w14:paraId="69AB2F8E" w14:textId="77777777" w:rsidR="000B544F" w:rsidRDefault="000B544F" w:rsidP="0016324A">
            <w:pPr>
              <w:jc w:val="center"/>
            </w:pPr>
            <w:r>
              <w:t>Blank</w:t>
            </w:r>
          </w:p>
        </w:tc>
        <w:tc>
          <w:tcPr>
            <w:tcW w:w="1069" w:type="dxa"/>
          </w:tcPr>
          <w:p w14:paraId="674C467B" w14:textId="0A6B86AC" w:rsidR="000B544F" w:rsidRDefault="00916FC1" w:rsidP="0016324A">
            <w:pPr>
              <w:jc w:val="center"/>
              <w:cnfStyle w:val="000000100000" w:firstRow="0" w:lastRow="0" w:firstColumn="0" w:lastColumn="0" w:oddVBand="0" w:evenVBand="0" w:oddHBand="1" w:evenHBand="0" w:firstRowFirstColumn="0" w:firstRowLastColumn="0" w:lastRowFirstColumn="0" w:lastRowLastColumn="0"/>
            </w:pPr>
            <w:bookmarkStart w:id="8" w:name="_GoBack"/>
            <w:bookmarkEnd w:id="8"/>
            <w:r w:rsidRPr="00916FC1">
              <w:rPr>
                <w:highlight w:val="yellow"/>
              </w:rPr>
              <w:t>310</w:t>
            </w:r>
          </w:p>
        </w:tc>
        <w:tc>
          <w:tcPr>
            <w:tcW w:w="1082" w:type="dxa"/>
          </w:tcPr>
          <w:p w14:paraId="7438CC19" w14:textId="77777777" w:rsidR="000B544F" w:rsidRDefault="000B544F" w:rsidP="0016324A">
            <w:pPr>
              <w:jc w:val="center"/>
              <w:cnfStyle w:val="000000100000" w:firstRow="0" w:lastRow="0" w:firstColumn="0" w:lastColumn="0" w:oddVBand="0" w:evenVBand="0" w:oddHBand="1" w:evenHBand="0" w:firstRowFirstColumn="0" w:firstRowLastColumn="0" w:lastRowFirstColumn="0" w:lastRowLastColumn="0"/>
            </w:pPr>
            <w:r>
              <w:t>-</w:t>
            </w:r>
          </w:p>
        </w:tc>
        <w:tc>
          <w:tcPr>
            <w:tcW w:w="1417" w:type="dxa"/>
          </w:tcPr>
          <w:p w14:paraId="41FADF1B" w14:textId="77777777" w:rsidR="000B544F" w:rsidRDefault="000B544F" w:rsidP="0016324A">
            <w:pPr>
              <w:jc w:val="center"/>
              <w:cnfStyle w:val="000000100000" w:firstRow="0" w:lastRow="0" w:firstColumn="0" w:lastColumn="0" w:oddVBand="0" w:evenVBand="0" w:oddHBand="1" w:evenHBand="0" w:firstRowFirstColumn="0" w:firstRowLastColumn="0" w:lastRowFirstColumn="0" w:lastRowLastColumn="0"/>
            </w:pPr>
            <w:r>
              <w:t>-</w:t>
            </w:r>
          </w:p>
        </w:tc>
        <w:tc>
          <w:tcPr>
            <w:tcW w:w="1418" w:type="dxa"/>
          </w:tcPr>
          <w:p w14:paraId="504DEABF" w14:textId="77777777" w:rsidR="000B544F" w:rsidRDefault="000B544F" w:rsidP="0016324A">
            <w:pPr>
              <w:jc w:val="center"/>
              <w:cnfStyle w:val="000000100000" w:firstRow="0" w:lastRow="0" w:firstColumn="0" w:lastColumn="0" w:oddVBand="0" w:evenVBand="0" w:oddHBand="1" w:evenHBand="0" w:firstRowFirstColumn="0" w:firstRowLastColumn="0" w:lastRowFirstColumn="0" w:lastRowLastColumn="0"/>
            </w:pPr>
            <w:r>
              <w:t>-</w:t>
            </w:r>
          </w:p>
        </w:tc>
        <w:tc>
          <w:tcPr>
            <w:tcW w:w="1984" w:type="dxa"/>
          </w:tcPr>
          <w:p w14:paraId="5833765B" w14:textId="77777777" w:rsidR="000B544F" w:rsidRDefault="000B544F" w:rsidP="0016324A">
            <w:pPr>
              <w:jc w:val="center"/>
              <w:cnfStyle w:val="000000100000" w:firstRow="0" w:lastRow="0" w:firstColumn="0" w:lastColumn="0" w:oddVBand="0" w:evenVBand="0" w:oddHBand="1" w:evenHBand="0" w:firstRowFirstColumn="0" w:firstRowLastColumn="0" w:lastRowFirstColumn="0" w:lastRowLastColumn="0"/>
            </w:pPr>
            <w:r>
              <w:t>300</w:t>
            </w:r>
          </w:p>
        </w:tc>
      </w:tr>
      <w:tr w:rsidR="000B544F" w14:paraId="03F7DB0C" w14:textId="77777777" w:rsidTr="0016324A">
        <w:trPr>
          <w:jc w:val="center"/>
        </w:trPr>
        <w:tc>
          <w:tcPr>
            <w:cnfStyle w:val="001000000000" w:firstRow="0" w:lastRow="0" w:firstColumn="1" w:lastColumn="0" w:oddVBand="0" w:evenVBand="0" w:oddHBand="0" w:evenHBand="0" w:firstRowFirstColumn="0" w:firstRowLastColumn="0" w:lastRowFirstColumn="0" w:lastRowLastColumn="0"/>
            <w:tcW w:w="1672" w:type="dxa"/>
          </w:tcPr>
          <w:p w14:paraId="2A9F3C85" w14:textId="77777777" w:rsidR="000B544F" w:rsidRDefault="000B544F" w:rsidP="0016324A">
            <w:pPr>
              <w:jc w:val="center"/>
            </w:pPr>
            <w:r>
              <w:t>Calibrators</w:t>
            </w:r>
          </w:p>
        </w:tc>
        <w:tc>
          <w:tcPr>
            <w:tcW w:w="1069" w:type="dxa"/>
          </w:tcPr>
          <w:p w14:paraId="39E1968E" w14:textId="77777777" w:rsidR="000B544F" w:rsidRDefault="000B544F" w:rsidP="0016324A">
            <w:pPr>
              <w:jc w:val="center"/>
              <w:cnfStyle w:val="000000000000" w:firstRow="0" w:lastRow="0" w:firstColumn="0" w:lastColumn="0" w:oddVBand="0" w:evenVBand="0" w:oddHBand="0" w:evenHBand="0" w:firstRowFirstColumn="0" w:firstRowLastColumn="0" w:lastRowFirstColumn="0" w:lastRowLastColumn="0"/>
            </w:pPr>
            <w:r>
              <w:t>300</w:t>
            </w:r>
          </w:p>
        </w:tc>
        <w:tc>
          <w:tcPr>
            <w:tcW w:w="1082" w:type="dxa"/>
          </w:tcPr>
          <w:p w14:paraId="1E599011" w14:textId="77777777" w:rsidR="000B544F" w:rsidRDefault="000B544F" w:rsidP="0016324A">
            <w:pPr>
              <w:jc w:val="center"/>
              <w:cnfStyle w:val="000000000000" w:firstRow="0" w:lastRow="0" w:firstColumn="0" w:lastColumn="0" w:oddVBand="0" w:evenVBand="0" w:oddHBand="0" w:evenHBand="0" w:firstRowFirstColumn="0" w:firstRowLastColumn="0" w:lastRowFirstColumn="0" w:lastRowLastColumn="0"/>
            </w:pPr>
            <w:r>
              <w:t>10</w:t>
            </w:r>
          </w:p>
        </w:tc>
        <w:tc>
          <w:tcPr>
            <w:tcW w:w="1417" w:type="dxa"/>
          </w:tcPr>
          <w:p w14:paraId="6CF8A4C7" w14:textId="77777777" w:rsidR="000B544F" w:rsidRDefault="000B544F" w:rsidP="0016324A">
            <w:pPr>
              <w:jc w:val="center"/>
              <w:cnfStyle w:val="000000000000" w:firstRow="0" w:lastRow="0" w:firstColumn="0" w:lastColumn="0" w:oddVBand="0" w:evenVBand="0" w:oddHBand="0" w:evenHBand="0" w:firstRowFirstColumn="0" w:firstRowLastColumn="0" w:lastRowFirstColumn="0" w:lastRowLastColumn="0"/>
            </w:pPr>
            <w:r>
              <w:t>-</w:t>
            </w:r>
          </w:p>
        </w:tc>
        <w:tc>
          <w:tcPr>
            <w:tcW w:w="1418" w:type="dxa"/>
          </w:tcPr>
          <w:p w14:paraId="19D666DF" w14:textId="77777777" w:rsidR="000B544F" w:rsidRDefault="000B544F" w:rsidP="0016324A">
            <w:pPr>
              <w:jc w:val="center"/>
              <w:cnfStyle w:val="000000000000" w:firstRow="0" w:lastRow="0" w:firstColumn="0" w:lastColumn="0" w:oddVBand="0" w:evenVBand="0" w:oddHBand="0" w:evenHBand="0" w:firstRowFirstColumn="0" w:firstRowLastColumn="0" w:lastRowFirstColumn="0" w:lastRowLastColumn="0"/>
            </w:pPr>
            <w:r>
              <w:t>-</w:t>
            </w:r>
          </w:p>
        </w:tc>
        <w:tc>
          <w:tcPr>
            <w:tcW w:w="1984" w:type="dxa"/>
          </w:tcPr>
          <w:p w14:paraId="51354729" w14:textId="77777777" w:rsidR="000B544F" w:rsidRDefault="000B544F" w:rsidP="0016324A">
            <w:pPr>
              <w:jc w:val="center"/>
              <w:cnfStyle w:val="000000000000" w:firstRow="0" w:lastRow="0" w:firstColumn="0" w:lastColumn="0" w:oddVBand="0" w:evenVBand="0" w:oddHBand="0" w:evenHBand="0" w:firstRowFirstColumn="0" w:firstRowLastColumn="0" w:lastRowFirstColumn="0" w:lastRowLastColumn="0"/>
            </w:pPr>
            <w:r w:rsidRPr="00CD16A5">
              <w:t>300</w:t>
            </w:r>
          </w:p>
        </w:tc>
      </w:tr>
      <w:tr w:rsidR="000B544F" w14:paraId="59A9C710" w14:textId="77777777" w:rsidTr="001632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2" w:type="dxa"/>
          </w:tcPr>
          <w:p w14:paraId="569B0518" w14:textId="77777777" w:rsidR="000B544F" w:rsidRDefault="000B544F" w:rsidP="0016324A">
            <w:pPr>
              <w:jc w:val="center"/>
            </w:pPr>
            <w:r>
              <w:lastRenderedPageBreak/>
              <w:t>Control</w:t>
            </w:r>
          </w:p>
        </w:tc>
        <w:tc>
          <w:tcPr>
            <w:tcW w:w="1069" w:type="dxa"/>
          </w:tcPr>
          <w:p w14:paraId="141F4A3B" w14:textId="77777777" w:rsidR="000B544F" w:rsidRDefault="000B544F" w:rsidP="0016324A">
            <w:pPr>
              <w:jc w:val="center"/>
              <w:cnfStyle w:val="000000100000" w:firstRow="0" w:lastRow="0" w:firstColumn="0" w:lastColumn="0" w:oddVBand="0" w:evenVBand="0" w:oddHBand="1" w:evenHBand="0" w:firstRowFirstColumn="0" w:firstRowLastColumn="0" w:lastRowFirstColumn="0" w:lastRowLastColumn="0"/>
            </w:pPr>
            <w:r w:rsidRPr="00746BA4">
              <w:t>300</w:t>
            </w:r>
          </w:p>
        </w:tc>
        <w:tc>
          <w:tcPr>
            <w:tcW w:w="1082" w:type="dxa"/>
          </w:tcPr>
          <w:p w14:paraId="0F6F6B1D" w14:textId="77777777" w:rsidR="000B544F" w:rsidRDefault="000B544F" w:rsidP="0016324A">
            <w:pPr>
              <w:jc w:val="center"/>
              <w:cnfStyle w:val="000000100000" w:firstRow="0" w:lastRow="0" w:firstColumn="0" w:lastColumn="0" w:oddVBand="0" w:evenVBand="0" w:oddHBand="1" w:evenHBand="0" w:firstRowFirstColumn="0" w:firstRowLastColumn="0" w:lastRowFirstColumn="0" w:lastRowLastColumn="0"/>
            </w:pPr>
            <w:r>
              <w:t>-</w:t>
            </w:r>
          </w:p>
        </w:tc>
        <w:tc>
          <w:tcPr>
            <w:tcW w:w="1417" w:type="dxa"/>
          </w:tcPr>
          <w:p w14:paraId="406CFB6C" w14:textId="77777777" w:rsidR="000B544F" w:rsidRDefault="000B544F" w:rsidP="0016324A">
            <w:pPr>
              <w:jc w:val="center"/>
              <w:cnfStyle w:val="000000100000" w:firstRow="0" w:lastRow="0" w:firstColumn="0" w:lastColumn="0" w:oddVBand="0" w:evenVBand="0" w:oddHBand="1" w:evenHBand="0" w:firstRowFirstColumn="0" w:firstRowLastColumn="0" w:lastRowFirstColumn="0" w:lastRowLastColumn="0"/>
            </w:pPr>
            <w:r>
              <w:t>10</w:t>
            </w:r>
          </w:p>
        </w:tc>
        <w:tc>
          <w:tcPr>
            <w:tcW w:w="1418" w:type="dxa"/>
          </w:tcPr>
          <w:p w14:paraId="2FF62771" w14:textId="77777777" w:rsidR="000B544F" w:rsidRDefault="000B544F" w:rsidP="0016324A">
            <w:pPr>
              <w:jc w:val="center"/>
              <w:cnfStyle w:val="000000100000" w:firstRow="0" w:lastRow="0" w:firstColumn="0" w:lastColumn="0" w:oddVBand="0" w:evenVBand="0" w:oddHBand="1" w:evenHBand="0" w:firstRowFirstColumn="0" w:firstRowLastColumn="0" w:lastRowFirstColumn="0" w:lastRowLastColumn="0"/>
            </w:pPr>
            <w:r>
              <w:t>-</w:t>
            </w:r>
          </w:p>
        </w:tc>
        <w:tc>
          <w:tcPr>
            <w:tcW w:w="1984" w:type="dxa"/>
          </w:tcPr>
          <w:p w14:paraId="1153DF4A" w14:textId="77777777" w:rsidR="000B544F" w:rsidRDefault="000B544F" w:rsidP="0016324A">
            <w:pPr>
              <w:jc w:val="center"/>
              <w:cnfStyle w:val="000000100000" w:firstRow="0" w:lastRow="0" w:firstColumn="0" w:lastColumn="0" w:oddVBand="0" w:evenVBand="0" w:oddHBand="1" w:evenHBand="0" w:firstRowFirstColumn="0" w:firstRowLastColumn="0" w:lastRowFirstColumn="0" w:lastRowLastColumn="0"/>
            </w:pPr>
            <w:r w:rsidRPr="00F0338B">
              <w:t>300</w:t>
            </w:r>
          </w:p>
        </w:tc>
      </w:tr>
      <w:tr w:rsidR="000B544F" w14:paraId="641E6C27" w14:textId="77777777" w:rsidTr="0016324A">
        <w:trPr>
          <w:jc w:val="center"/>
        </w:trPr>
        <w:tc>
          <w:tcPr>
            <w:cnfStyle w:val="001000000000" w:firstRow="0" w:lastRow="0" w:firstColumn="1" w:lastColumn="0" w:oddVBand="0" w:evenVBand="0" w:oddHBand="0" w:evenHBand="0" w:firstRowFirstColumn="0" w:firstRowLastColumn="0" w:lastRowFirstColumn="0" w:lastRowLastColumn="0"/>
            <w:tcW w:w="1672" w:type="dxa"/>
          </w:tcPr>
          <w:p w14:paraId="61469EF5" w14:textId="77777777" w:rsidR="000B544F" w:rsidRDefault="000B544F" w:rsidP="0016324A">
            <w:pPr>
              <w:jc w:val="center"/>
            </w:pPr>
            <w:r>
              <w:t xml:space="preserve">Serum Sample </w:t>
            </w:r>
          </w:p>
        </w:tc>
        <w:tc>
          <w:tcPr>
            <w:tcW w:w="1069" w:type="dxa"/>
          </w:tcPr>
          <w:p w14:paraId="6D4CF74A" w14:textId="77777777" w:rsidR="000B544F" w:rsidRDefault="000B544F" w:rsidP="0016324A">
            <w:pPr>
              <w:jc w:val="center"/>
              <w:cnfStyle w:val="000000000000" w:firstRow="0" w:lastRow="0" w:firstColumn="0" w:lastColumn="0" w:oddVBand="0" w:evenVBand="0" w:oddHBand="0" w:evenHBand="0" w:firstRowFirstColumn="0" w:firstRowLastColumn="0" w:lastRowFirstColumn="0" w:lastRowLastColumn="0"/>
            </w:pPr>
            <w:r w:rsidRPr="00746BA4">
              <w:t>300</w:t>
            </w:r>
          </w:p>
        </w:tc>
        <w:tc>
          <w:tcPr>
            <w:tcW w:w="1082" w:type="dxa"/>
          </w:tcPr>
          <w:p w14:paraId="3CB7CD5D" w14:textId="77777777" w:rsidR="000B544F" w:rsidRDefault="000B544F" w:rsidP="0016324A">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724E4FCF" w14:textId="77777777" w:rsidR="000B544F" w:rsidRDefault="000B544F" w:rsidP="0016324A">
            <w:pPr>
              <w:jc w:val="center"/>
              <w:cnfStyle w:val="000000000000" w:firstRow="0" w:lastRow="0" w:firstColumn="0" w:lastColumn="0" w:oddVBand="0" w:evenVBand="0" w:oddHBand="0" w:evenHBand="0" w:firstRowFirstColumn="0" w:firstRowLastColumn="0" w:lastRowFirstColumn="0" w:lastRowLastColumn="0"/>
            </w:pPr>
            <w:r>
              <w:t>-</w:t>
            </w:r>
          </w:p>
        </w:tc>
        <w:tc>
          <w:tcPr>
            <w:tcW w:w="1418" w:type="dxa"/>
          </w:tcPr>
          <w:p w14:paraId="4158AF09" w14:textId="77777777" w:rsidR="000B544F" w:rsidRDefault="000B544F" w:rsidP="0016324A">
            <w:pPr>
              <w:jc w:val="center"/>
              <w:cnfStyle w:val="000000000000" w:firstRow="0" w:lastRow="0" w:firstColumn="0" w:lastColumn="0" w:oddVBand="0" w:evenVBand="0" w:oddHBand="0" w:evenHBand="0" w:firstRowFirstColumn="0" w:firstRowLastColumn="0" w:lastRowFirstColumn="0" w:lastRowLastColumn="0"/>
            </w:pPr>
            <w:r>
              <w:t>10</w:t>
            </w:r>
          </w:p>
        </w:tc>
        <w:tc>
          <w:tcPr>
            <w:tcW w:w="1984" w:type="dxa"/>
          </w:tcPr>
          <w:p w14:paraId="023FC969" w14:textId="77777777" w:rsidR="000B544F" w:rsidRPr="00CD16A5" w:rsidRDefault="000B544F" w:rsidP="0016324A">
            <w:pPr>
              <w:jc w:val="center"/>
              <w:cnfStyle w:val="000000000000" w:firstRow="0" w:lastRow="0" w:firstColumn="0" w:lastColumn="0" w:oddVBand="0" w:evenVBand="0" w:oddHBand="0" w:evenHBand="0" w:firstRowFirstColumn="0" w:firstRowLastColumn="0" w:lastRowFirstColumn="0" w:lastRowLastColumn="0"/>
            </w:pPr>
            <w:r w:rsidRPr="00F0338B">
              <w:t>300</w:t>
            </w:r>
          </w:p>
        </w:tc>
      </w:tr>
    </w:tbl>
    <w:p w14:paraId="7E27F80C" w14:textId="77777777" w:rsidR="000B544F" w:rsidRDefault="000B544F" w:rsidP="000B544F"/>
    <w:p w14:paraId="5E63DA12" w14:textId="77777777" w:rsidR="000B544F" w:rsidRDefault="000B544F" w:rsidP="000B544F">
      <w:pPr>
        <w:pStyle w:val="ListParagraph"/>
        <w:numPr>
          <w:ilvl w:val="0"/>
          <w:numId w:val="3"/>
        </w:numPr>
      </w:pPr>
      <w:r>
        <w:t>Mix well read immediately at 630nm and record absorbances</w:t>
      </w:r>
    </w:p>
    <w:p w14:paraId="37B1CC2A" w14:textId="77777777" w:rsidR="000B544F" w:rsidRDefault="000B544F" w:rsidP="000B544F">
      <w:pPr>
        <w:pStyle w:val="ListParagraph"/>
        <w:numPr>
          <w:ilvl w:val="0"/>
          <w:numId w:val="3"/>
        </w:numPr>
      </w:pPr>
      <w:r>
        <w:t>Plot a standard curve and determine experimental concentrations of controls and serum samples</w:t>
      </w:r>
    </w:p>
    <w:p w14:paraId="3AF2491D" w14:textId="77777777" w:rsidR="000B544F" w:rsidRDefault="000B544F" w:rsidP="000B544F">
      <w:pPr>
        <w:pStyle w:val="ListParagraph"/>
        <w:numPr>
          <w:ilvl w:val="0"/>
          <w:numId w:val="3"/>
        </w:numPr>
      </w:pPr>
      <w:r>
        <w:t>Compare results to expected results and comment on any differences between the manual BCG vs automated BCP assays</w:t>
      </w:r>
    </w:p>
    <w:p w14:paraId="7BEBBFEA" w14:textId="77777777" w:rsidR="000B544F" w:rsidRDefault="000B544F" w:rsidP="000B544F">
      <w:pPr>
        <w:pStyle w:val="ListParagraph"/>
        <w:numPr>
          <w:ilvl w:val="0"/>
          <w:numId w:val="3"/>
        </w:numPr>
      </w:pPr>
      <w:r>
        <w:t xml:space="preserve">A haemolysed sample is brought to the laboratory for albumin analysis. Can the sample be used? Discuss. </w:t>
      </w:r>
    </w:p>
    <w:p w14:paraId="1E2E60CE" w14:textId="77777777" w:rsidR="000B544F" w:rsidRDefault="000B544F" w:rsidP="000B544F">
      <w:pPr>
        <w:pStyle w:val="ListParagraph"/>
        <w:numPr>
          <w:ilvl w:val="0"/>
          <w:numId w:val="3"/>
        </w:numPr>
      </w:pPr>
      <w:r>
        <w:t>Why is it not desirable to incubate the reaction before measuring the absorbance?</w:t>
      </w:r>
    </w:p>
    <w:p w14:paraId="74448EC8" w14:textId="77777777" w:rsidR="000B544F" w:rsidRPr="00002B22" w:rsidRDefault="000B544F" w:rsidP="000B544F">
      <w:pPr>
        <w:pStyle w:val="ListParagraph"/>
        <w:numPr>
          <w:ilvl w:val="0"/>
          <w:numId w:val="3"/>
        </w:numPr>
      </w:pPr>
      <w:r>
        <w:t xml:space="preserve">Some </w:t>
      </w:r>
      <w:proofErr w:type="spellStart"/>
      <w:r>
        <w:t>analyzers</w:t>
      </w:r>
      <w:proofErr w:type="spellEnd"/>
      <w:r>
        <w:t xml:space="preserve"> can measure the absorbance of the BCG reaction within 30 seconds after adding sample. Does this tend to increase the specificity of the reaction? </w:t>
      </w:r>
    </w:p>
    <w:p w14:paraId="05268798" w14:textId="77777777" w:rsidR="005A3C1D" w:rsidRDefault="005A3C1D"/>
    <w:sectPr w:rsidR="005A3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06738"/>
    <w:multiLevelType w:val="hybridMultilevel"/>
    <w:tmpl w:val="CB9EFB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B32069D"/>
    <w:multiLevelType w:val="hybridMultilevel"/>
    <w:tmpl w:val="7FAC5D4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FD44EE4"/>
    <w:multiLevelType w:val="hybridMultilevel"/>
    <w:tmpl w:val="BEE878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1D"/>
    <w:rsid w:val="000B544F"/>
    <w:rsid w:val="002C720D"/>
    <w:rsid w:val="005A3C1D"/>
    <w:rsid w:val="00611DFC"/>
    <w:rsid w:val="00916F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ABA5"/>
  <w15:chartTrackingRefBased/>
  <w15:docId w15:val="{ECC0909E-3AD4-472F-8587-8D8416C7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544F"/>
  </w:style>
  <w:style w:type="paragraph" w:styleId="Heading1">
    <w:name w:val="heading 1"/>
    <w:basedOn w:val="Normal"/>
    <w:next w:val="Normal"/>
    <w:link w:val="Heading1Char"/>
    <w:uiPriority w:val="9"/>
    <w:qFormat/>
    <w:rsid w:val="000B54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B54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4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B544F"/>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0B544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544F"/>
    <w:rPr>
      <w:rFonts w:eastAsiaTheme="minorEastAsia"/>
      <w:lang w:val="en-US"/>
    </w:rPr>
  </w:style>
  <w:style w:type="paragraph" w:styleId="TOC1">
    <w:name w:val="toc 1"/>
    <w:basedOn w:val="Normal"/>
    <w:next w:val="Normal"/>
    <w:autoRedefine/>
    <w:uiPriority w:val="39"/>
    <w:unhideWhenUsed/>
    <w:rsid w:val="000B544F"/>
    <w:pPr>
      <w:spacing w:after="100"/>
    </w:pPr>
  </w:style>
  <w:style w:type="character" w:styleId="Hyperlink">
    <w:name w:val="Hyperlink"/>
    <w:basedOn w:val="DefaultParagraphFont"/>
    <w:uiPriority w:val="99"/>
    <w:unhideWhenUsed/>
    <w:rsid w:val="000B544F"/>
    <w:rPr>
      <w:color w:val="0563C1" w:themeColor="hyperlink"/>
      <w:u w:val="single"/>
    </w:rPr>
  </w:style>
  <w:style w:type="paragraph" w:styleId="Title">
    <w:name w:val="Title"/>
    <w:basedOn w:val="Normal"/>
    <w:next w:val="Normal"/>
    <w:link w:val="TitleChar"/>
    <w:uiPriority w:val="10"/>
    <w:qFormat/>
    <w:rsid w:val="000B54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44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B544F"/>
    <w:pPr>
      <w:ind w:left="720"/>
      <w:contextualSpacing/>
    </w:pPr>
  </w:style>
  <w:style w:type="paragraph" w:styleId="TOCHeading">
    <w:name w:val="TOC Heading"/>
    <w:basedOn w:val="Heading1"/>
    <w:next w:val="Normal"/>
    <w:uiPriority w:val="39"/>
    <w:unhideWhenUsed/>
    <w:qFormat/>
    <w:rsid w:val="000B544F"/>
    <w:pPr>
      <w:outlineLvl w:val="9"/>
    </w:pPr>
    <w:rPr>
      <w:lang w:val="en-US"/>
    </w:rPr>
  </w:style>
  <w:style w:type="table" w:styleId="GridTable5Dark-Accent3">
    <w:name w:val="Grid Table 5 Dark Accent 3"/>
    <w:basedOn w:val="TableNormal"/>
    <w:uiPriority w:val="50"/>
    <w:rsid w:val="000B54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Pillay</dc:creator>
  <cp:keywords/>
  <dc:description/>
  <cp:lastModifiedBy>Joanne Pillay</cp:lastModifiedBy>
  <cp:revision>4</cp:revision>
  <dcterms:created xsi:type="dcterms:W3CDTF">2020-03-04T07:43:00Z</dcterms:created>
  <dcterms:modified xsi:type="dcterms:W3CDTF">2020-03-17T15:44:00Z</dcterms:modified>
</cp:coreProperties>
</file>